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4720" w:rsidRDefault="00C64720">
      <w:pPr>
        <w:pStyle w:val="Bodytext10"/>
        <w:spacing w:line="500" w:lineRule="exact"/>
        <w:ind w:firstLine="0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C64720">
      <w:pPr>
        <w:pStyle w:val="Bodytext10"/>
        <w:spacing w:line="500" w:lineRule="exact"/>
        <w:ind w:firstLine="0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C64720">
      <w:pPr>
        <w:pStyle w:val="Bodytext10"/>
        <w:spacing w:line="500" w:lineRule="exact"/>
        <w:ind w:firstLine="0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C64720">
      <w:pPr>
        <w:pStyle w:val="Bodytext10"/>
        <w:spacing w:line="500" w:lineRule="exact"/>
        <w:ind w:firstLine="0"/>
        <w:jc w:val="both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C64720">
      <w:pPr>
        <w:pStyle w:val="Bodytext10"/>
        <w:spacing w:line="500" w:lineRule="exact"/>
        <w:ind w:firstLine="0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C64720">
      <w:pPr>
        <w:pStyle w:val="Bodytext10"/>
        <w:spacing w:line="500" w:lineRule="exact"/>
        <w:ind w:firstLine="0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C64720" w:rsidRDefault="00000000">
      <w:pPr>
        <w:pStyle w:val="Bodytext10"/>
        <w:spacing w:line="500" w:lineRule="exact"/>
        <w:ind w:firstLine="0"/>
        <w:jc w:val="center"/>
        <w:rPr>
          <w:rFonts w:ascii="楷体_GB2312" w:eastAsia="楷体_GB2312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鲁女院发</w:t>
      </w:r>
      <w:r>
        <w:rPr>
          <w:rFonts w:ascii="仿宋_GB2312" w:eastAsia="仿宋_GB2312" w:hAnsi="Arial" w:cs="Arial" w:hint="eastAsia"/>
          <w:sz w:val="32"/>
          <w:szCs w:val="32"/>
        </w:rPr>
        <w:t>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="Arial" w:cs="Arial" w:hint="eastAsia"/>
          <w:sz w:val="32"/>
          <w:szCs w:val="32"/>
        </w:rPr>
        <w:t>〕</w:t>
      </w:r>
      <w:r>
        <w:rPr>
          <w:rFonts w:ascii="仿宋_GB2312" w:eastAsia="仿宋_GB2312" w:hAnsi="Arial" w:cs="Arial" w:hint="eastAsia"/>
          <w:sz w:val="32"/>
          <w:szCs w:val="32"/>
          <w:lang w:val="en-US" w:eastAsia="zh-CN"/>
        </w:rPr>
        <w:t>83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                签发人：</w:t>
      </w:r>
      <w:r>
        <w:rPr>
          <w:rFonts w:ascii="楷体_GB2312" w:eastAsia="楷体_GB2312" w:hAnsi="Times New Roman" w:cs="Times New Roman" w:hint="eastAsia"/>
          <w:kern w:val="2"/>
          <w:sz w:val="32"/>
          <w:szCs w:val="32"/>
          <w:lang w:val="en-US" w:eastAsia="zh-CN" w:bidi="ar-SA"/>
        </w:rPr>
        <w:t>李光红</w:t>
      </w:r>
    </w:p>
    <w:p w:rsidR="00C64720" w:rsidRDefault="00C64720">
      <w:pPr>
        <w:widowControl/>
        <w:spacing w:line="560" w:lineRule="exact"/>
        <w:rPr>
          <w:rFonts w:ascii="方正小标宋简体" w:eastAsia="方正小标宋简体"/>
          <w:sz w:val="32"/>
          <w:szCs w:val="32"/>
          <w:lang w:eastAsia="zh-CN" w:bidi="ar-SA"/>
        </w:rPr>
      </w:pPr>
    </w:p>
    <w:p w:rsidR="00C64720" w:rsidRDefault="00C64720">
      <w:pPr>
        <w:widowControl/>
        <w:spacing w:line="560" w:lineRule="exact"/>
        <w:rPr>
          <w:rFonts w:ascii="方正小标宋简体" w:eastAsia="方正小标宋简体"/>
          <w:sz w:val="32"/>
          <w:szCs w:val="32"/>
          <w:lang w:eastAsia="zh-CN" w:bidi="ar-SA"/>
        </w:rPr>
      </w:pPr>
    </w:p>
    <w:p w:rsidR="00C64720" w:rsidRDefault="000000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关于印发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  <w:lang w:eastAsia="zh-CN"/>
        </w:rPr>
        <w:t>山东女子学院</w:t>
      </w:r>
    </w:p>
    <w:p w:rsidR="00C64720" w:rsidRDefault="000000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国家助学金管理实施办法（修订）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》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的通知</w:t>
      </w:r>
    </w:p>
    <w:p w:rsidR="00C64720" w:rsidRDefault="00C64720">
      <w:pPr>
        <w:pStyle w:val="a4"/>
        <w:spacing w:line="560" w:lineRule="exact"/>
        <w:rPr>
          <w:rFonts w:ascii="方正小标宋简体" w:eastAsia="方正小标宋简体" w:cs="方正小标宋简体"/>
          <w:sz w:val="44"/>
          <w:szCs w:val="44"/>
          <w:lang w:eastAsia="zh-CN"/>
        </w:rPr>
      </w:pPr>
    </w:p>
    <w:p w:rsidR="00C64720" w:rsidRDefault="00000000">
      <w:pPr>
        <w:widowControl/>
        <w:spacing w:line="560" w:lineRule="exact"/>
        <w:rPr>
          <w:rFonts w:ascii="仿宋_GB2312" w:eastAsia="仿宋_GB2312" w:hAnsi="楷体" w:cs="Calibri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楷体" w:cs="Calibri" w:hint="eastAsia"/>
          <w:kern w:val="2"/>
          <w:sz w:val="32"/>
          <w:szCs w:val="32"/>
          <w:lang w:eastAsia="zh-CN" w:bidi="ar-SA"/>
        </w:rPr>
        <w:t>各部门、各单位：</w:t>
      </w:r>
    </w:p>
    <w:p w:rsidR="00C64720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《山东女子学院国家助学金管理实施办法（修订）》已经校长办公会研究通过，现予以印发，请认真贯彻执行。</w:t>
      </w:r>
    </w:p>
    <w:p w:rsidR="00C64720" w:rsidRDefault="00C64720">
      <w:pPr>
        <w:pStyle w:val="a4"/>
        <w:spacing w:line="560" w:lineRule="exact"/>
        <w:rPr>
          <w:lang w:eastAsia="zh-CN"/>
        </w:rPr>
      </w:pPr>
    </w:p>
    <w:p w:rsidR="00C64720" w:rsidRDefault="00000000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山东女子学院</w:t>
      </w:r>
    </w:p>
    <w:p w:rsidR="00C64720" w:rsidRDefault="00000000">
      <w:pPr>
        <w:spacing w:line="560" w:lineRule="exact"/>
        <w:ind w:firstLineChars="1700" w:firstLine="5440"/>
        <w:rPr>
          <w:rFonts w:ascii="黑体" w:eastAsia="黑体" w:hAnsi="黑体" w:cs="黑体"/>
          <w:sz w:val="32"/>
          <w:szCs w:val="32"/>
          <w:lang w:eastAsia="zh-CN" w:bidi="ar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2023年12月13日</w:t>
      </w:r>
    </w:p>
    <w:p w:rsidR="00C64720" w:rsidRDefault="00C64720">
      <w:pPr>
        <w:spacing w:line="560" w:lineRule="exact"/>
        <w:ind w:firstLineChars="196" w:firstLine="470"/>
        <w:rPr>
          <w:lang w:eastAsia="zh-CN"/>
        </w:rPr>
      </w:pPr>
    </w:p>
    <w:p w:rsidR="00C64720" w:rsidRDefault="00C64720">
      <w:pPr>
        <w:pStyle w:val="9"/>
        <w:ind w:left="3840"/>
        <w:rPr>
          <w:lang w:eastAsia="zh-CN"/>
        </w:rPr>
      </w:pPr>
    </w:p>
    <w:p w:rsidR="00C64720" w:rsidRDefault="00C64720">
      <w:pPr>
        <w:rPr>
          <w:lang w:eastAsia="zh-CN"/>
        </w:rPr>
      </w:pPr>
    </w:p>
    <w:p w:rsidR="00C64720" w:rsidRDefault="00C64720">
      <w:pPr>
        <w:pStyle w:val="Bodytext10"/>
        <w:spacing w:line="560" w:lineRule="atLeast"/>
        <w:ind w:firstLine="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C64720" w:rsidRDefault="00C64720">
      <w:pPr>
        <w:pStyle w:val="Bodytext10"/>
        <w:spacing w:line="560" w:lineRule="atLeast"/>
        <w:ind w:firstLine="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C64720" w:rsidRDefault="00C647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64720" w:rsidRDefault="000000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lastRenderedPageBreak/>
        <w:t>山东女子学院</w:t>
      </w:r>
    </w:p>
    <w:p w:rsidR="00C64720" w:rsidRDefault="0000000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国家助学金管理实施办法（修订）</w:t>
      </w:r>
    </w:p>
    <w:p w:rsidR="00C64720" w:rsidRDefault="00C64720">
      <w:pPr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为体现党和政府对家庭经济困难学生的关怀，帮助他们顺利完成学业，根据《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山东省学生资助资金管理办法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鲁财科教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〔20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号）等文件精神，制定本办法。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一、适用对象</w:t>
      </w:r>
    </w:p>
    <w:p w:rsidR="00C64720" w:rsidRDefault="00000000" w:rsidP="009832BE">
      <w:pPr>
        <w:spacing w:line="560" w:lineRule="exact"/>
        <w:ind w:firstLineChars="196" w:firstLine="627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具有我校正式学籍的全日制本专科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（不含退役士兵学生）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在校生中的家庭经济困难学生。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全日制在校退役士兵学生全部享受本专科生国家助学金。</w:t>
      </w:r>
    </w:p>
    <w:p w:rsidR="00C64720" w:rsidRDefault="00000000" w:rsidP="009832BE">
      <w:pPr>
        <w:spacing w:line="560" w:lineRule="exact"/>
        <w:ind w:firstLineChars="196" w:firstLine="627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在同一学年内，申请并获得国家助学金的学生，可同时申请并获得国家奖学金、省政府奖学金或励志奖学金中的一项。已享受政策性生活补助的学生不能同时获得国家助学金。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二、资助标准</w:t>
      </w:r>
    </w:p>
    <w:p w:rsidR="00C64720" w:rsidRDefault="00000000" w:rsidP="009832BE">
      <w:pPr>
        <w:spacing w:line="560" w:lineRule="exact"/>
        <w:ind w:firstLineChars="196" w:firstLine="627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（一）国家助学金主要资助家庭经济困难学生</w:t>
      </w:r>
      <w:r w:rsidR="009832B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（不含退役士兵学生）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的生活费用开支，评选名额、标准按照省教育厅当年下达的计划执行</w:t>
      </w:r>
      <w:r w:rsidR="009832B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，平均资助标准为每生每年3300元，具体分为三档，一档2200元；二档3300元；三档4400元。</w:t>
      </w:r>
    </w:p>
    <w:p w:rsidR="00C64720" w:rsidRDefault="00000000" w:rsidP="009832BE">
      <w:pPr>
        <w:spacing w:line="560" w:lineRule="exact"/>
        <w:ind w:firstLineChars="196" w:firstLine="627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（二）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全日制在校退役士兵学生全部享受本专科生国家助学金，资助标准为每生每年3300元。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三、申请条件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（一）热爱祖国，拥护中国共产党的领导；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（二）遵守宪法和法律，遵守学校规章制度；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（三）诚实守信，道德品质优良；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（四）勤奋学习，积极上进；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（五）家庭经济困难，生活俭朴。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四、评审要求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国家助学金每学年九月份评审一次，坚持公开、公平、公正的原则。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五、评审程序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（一）学校根据当年省教育厅下达的计划，由学生资助管理中心具体负责组织评审工作。</w:t>
      </w:r>
    </w:p>
    <w:p w:rsidR="00C64720" w:rsidRPr="00C21A07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（二）各学院每年九月份依据申请条件，结合家庭经济困难学生等级认定情况，组织家庭经济困难学生（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不含退役士兵学生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）提出申请，并填写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《山东省高等教育资助申请表》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  <w:r w:rsidR="00325FF8"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各学院组织初审，</w:t>
      </w:r>
      <w:r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国家助学金初审结果应在二级学院内进行不少于2个工作日的公示。</w:t>
      </w:r>
      <w:r w:rsidRPr="00C21A07">
        <w:rPr>
          <w:rFonts w:ascii="仿宋_GB2312" w:eastAsia="仿宋_GB2312" w:hAnsi="仿宋_GB2312" w:cs="仿宋_GB2312"/>
          <w:sz w:val="32"/>
          <w:szCs w:val="32"/>
          <w:lang w:eastAsia="zh-CN"/>
        </w:rPr>
        <w:t>公示时，严禁涉及学生个人敏感信息及隐私。</w:t>
      </w:r>
      <w:r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各学院审核后将</w:t>
      </w:r>
      <w:r w:rsidR="00D0402C"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国家</w:t>
      </w:r>
      <w:r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助学金受助学生名单备案表报学生资助管理中心。</w:t>
      </w:r>
    </w:p>
    <w:p w:rsidR="00C64720" w:rsidRDefault="00000000" w:rsidP="00C658C9">
      <w:pPr>
        <w:spacing w:line="560" w:lineRule="exact"/>
        <w:ind w:firstLineChars="196" w:firstLine="627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（三）学生资助管理中心汇总</w:t>
      </w:r>
      <w:r w:rsidR="00C658C9"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后组织</w:t>
      </w:r>
      <w:r w:rsidR="002733F3"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评审</w:t>
      </w:r>
      <w:r w:rsidRPr="00C21A0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C21A07">
        <w:rPr>
          <w:rFonts w:ascii="仿宋_GB2312" w:eastAsia="仿宋_GB2312" w:hAnsi="仿宋_GB2312" w:cs="仿宋_GB2312"/>
          <w:sz w:val="32"/>
          <w:szCs w:val="32"/>
          <w:lang w:eastAsia="zh-CN"/>
        </w:rPr>
        <w:t>提出享受国家助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学金资助初步名单及资助档次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报学校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学生工作委员会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审定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（四）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审定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结果在校内进行不少于5个工作日的公示。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公示无异议后，确定评审结果。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六、发放与管理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（一）国家助学金发放到受助学生的银行卡账户。</w:t>
      </w:r>
    </w:p>
    <w:p w:rsidR="00C64720" w:rsidRDefault="00000000">
      <w:pPr>
        <w:adjustRightInd w:val="0"/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（二）国家助学金主要用于学生的日常生活，严禁铺张浪费，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对故意提供虚假信息者和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铺张浪费者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一经核实，学生资助管理中心报由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学生工作委员会决定取消其受助资格，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收回所获国家助学金，并在一定范围内给予通报批评，</w:t>
      </w:r>
      <w:r>
        <w:rPr>
          <w:rFonts w:ascii="仿宋_GB2312" w:eastAsia="仿宋_GB2312" w:hAnsi="宋体"/>
          <w:sz w:val="32"/>
          <w:szCs w:val="32"/>
          <w:lang w:eastAsia="zh-CN"/>
        </w:rPr>
        <w:t>情节严重的，学校依据有关规定进行严肃处理，并将诚信情况记入学生个人档案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C64720" w:rsidRDefault="00000000">
      <w:pPr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七、附则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（一）本办法自颁布之日起施行。</w:t>
      </w:r>
    </w:p>
    <w:p w:rsidR="00C64720" w:rsidRDefault="000000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（二）本办法由学生工作处负责解释。</w:t>
      </w:r>
    </w:p>
    <w:p w:rsidR="00C64720" w:rsidRDefault="00C64720">
      <w:pPr>
        <w:spacing w:before="72"/>
        <w:rPr>
          <w:lang w:eastAsia="zh-CN"/>
        </w:rPr>
      </w:pPr>
    </w:p>
    <w:p w:rsidR="00C64720" w:rsidRDefault="00C64720">
      <w:pPr>
        <w:spacing w:before="72"/>
        <w:rPr>
          <w:lang w:eastAsia="zh-CN"/>
        </w:rPr>
      </w:pPr>
    </w:p>
    <w:p w:rsidR="00C64720" w:rsidRDefault="00C64720">
      <w:pPr>
        <w:pStyle w:val="a3"/>
        <w:rPr>
          <w:lang w:eastAsia="zh-CN"/>
        </w:rPr>
      </w:pPr>
    </w:p>
    <w:p w:rsidR="00C64720" w:rsidRDefault="00C64720">
      <w:pPr>
        <w:pStyle w:val="a3"/>
        <w:rPr>
          <w:lang w:eastAsia="zh-CN"/>
        </w:rPr>
      </w:pPr>
    </w:p>
    <w:p w:rsidR="00B8600B" w:rsidRDefault="00B8600B">
      <w:pPr>
        <w:pStyle w:val="a3"/>
        <w:rPr>
          <w:lang w:eastAsia="zh-CN"/>
        </w:rPr>
      </w:pPr>
    </w:p>
    <w:tbl>
      <w:tblPr>
        <w:tblpPr w:leftFromText="180" w:rightFromText="180" w:vertAnchor="text" w:horzAnchor="page" w:tblpX="1453" w:tblpY="4418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C64720">
        <w:trPr>
          <w:trHeight w:val="897"/>
        </w:trPr>
        <w:tc>
          <w:tcPr>
            <w:tcW w:w="9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20" w:rsidRDefault="00000000">
            <w:pPr>
              <w:spacing w:line="560" w:lineRule="atLeast"/>
              <w:jc w:val="center"/>
              <w:rPr>
                <w:rFonts w:ascii="仿宋_GB2312" w:eastAsia="仿宋_GB2312"/>
                <w:sz w:val="30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山东女子学院                            2023年12月13日印发</w:t>
            </w:r>
          </w:p>
        </w:tc>
      </w:tr>
    </w:tbl>
    <w:p w:rsidR="00C64720" w:rsidRDefault="00C64720">
      <w:pPr>
        <w:pStyle w:val="a3"/>
        <w:rPr>
          <w:lang w:eastAsia="zh-CN"/>
        </w:rPr>
      </w:pPr>
    </w:p>
    <w:sectPr w:rsidR="00C6472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11" w:right="1531" w:bottom="1871" w:left="1531" w:header="850" w:footer="85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737B" w:rsidRDefault="006F737B"/>
  </w:endnote>
  <w:endnote w:type="continuationSeparator" w:id="0">
    <w:p w:rsidR="006F737B" w:rsidRDefault="006F7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4720" w:rsidRDefault="0000000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307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4720" w:rsidRDefault="00000000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-17.1pt;margin-top:0;width:34.1pt;height:9.35pt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" filled="f" stroked="f">
              <v:textbox style="mso-fit-shape-to-text:t" inset="0,0,0,0">
                <w:txbxContent>
                  <w:p w:rsidR="00C64720" w:rsidRDefault="00000000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47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720" w:rsidRDefault="00000000">
                          <w:pPr>
                            <w:pStyle w:val="a8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C64720" w:rsidRDefault="00000000">
                    <w:pPr>
                      <w:pStyle w:val="a8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5610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4720" w:rsidRDefault="00C64720">
                          <w:pPr>
                            <w:pStyle w:val="Headerorfooter1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8" type="#_x0000_t202" style="position:absolute;margin-left:-16.9pt;margin-top:0;width:34.3pt;height:9.35pt;z-index:25166131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" filled="f" stroked="f">
              <v:textbox style="mso-fit-shape-to-text:t" inset="0,0,0,0">
                <w:txbxContent>
                  <w:p w:rsidR="00C64720" w:rsidRDefault="00C64720">
                    <w:pPr>
                      <w:pStyle w:val="Headerorfooter1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737B" w:rsidRDefault="006F737B"/>
  </w:footnote>
  <w:footnote w:type="continuationSeparator" w:id="0">
    <w:p w:rsidR="006F737B" w:rsidRDefault="006F7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4720" w:rsidRDefault="00C64720">
    <w:pPr>
      <w:pStyle w:val="aa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4720" w:rsidRDefault="00C64720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1NDI4ODc3N2ZkYmQ5ZjM0ZmViNTdkZjI1Y2IxNDAifQ=="/>
  </w:docVars>
  <w:rsids>
    <w:rsidRoot w:val="00A22C96"/>
    <w:rsid w:val="000077C9"/>
    <w:rsid w:val="000131B7"/>
    <w:rsid w:val="0003469F"/>
    <w:rsid w:val="00046FB3"/>
    <w:rsid w:val="0005309B"/>
    <w:rsid w:val="000553AC"/>
    <w:rsid w:val="000670C9"/>
    <w:rsid w:val="00081CE4"/>
    <w:rsid w:val="000A08F2"/>
    <w:rsid w:val="000A1A1B"/>
    <w:rsid w:val="000A72AF"/>
    <w:rsid w:val="000B7951"/>
    <w:rsid w:val="000F2907"/>
    <w:rsid w:val="000F2E00"/>
    <w:rsid w:val="00110651"/>
    <w:rsid w:val="00117F46"/>
    <w:rsid w:val="00120B6D"/>
    <w:rsid w:val="001214D1"/>
    <w:rsid w:val="001255A7"/>
    <w:rsid w:val="0012579A"/>
    <w:rsid w:val="00146136"/>
    <w:rsid w:val="001661C9"/>
    <w:rsid w:val="00166DA8"/>
    <w:rsid w:val="00172120"/>
    <w:rsid w:val="001825C3"/>
    <w:rsid w:val="001C0349"/>
    <w:rsid w:val="001C5A82"/>
    <w:rsid w:val="001D50A1"/>
    <w:rsid w:val="001E5493"/>
    <w:rsid w:val="00203389"/>
    <w:rsid w:val="00227507"/>
    <w:rsid w:val="002426C7"/>
    <w:rsid w:val="00256EA8"/>
    <w:rsid w:val="0026182C"/>
    <w:rsid w:val="002733F3"/>
    <w:rsid w:val="002A6CFC"/>
    <w:rsid w:val="002A770B"/>
    <w:rsid w:val="002B1AD0"/>
    <w:rsid w:val="002C5C03"/>
    <w:rsid w:val="002D6246"/>
    <w:rsid w:val="00306A1E"/>
    <w:rsid w:val="00321C6E"/>
    <w:rsid w:val="00325FF8"/>
    <w:rsid w:val="0034051B"/>
    <w:rsid w:val="0036483A"/>
    <w:rsid w:val="003940BE"/>
    <w:rsid w:val="00394266"/>
    <w:rsid w:val="003A1611"/>
    <w:rsid w:val="003B38B5"/>
    <w:rsid w:val="003B4877"/>
    <w:rsid w:val="003F5A96"/>
    <w:rsid w:val="00403C20"/>
    <w:rsid w:val="004153BB"/>
    <w:rsid w:val="004211F1"/>
    <w:rsid w:val="00437001"/>
    <w:rsid w:val="004402DD"/>
    <w:rsid w:val="0044721E"/>
    <w:rsid w:val="00462DC0"/>
    <w:rsid w:val="00480962"/>
    <w:rsid w:val="004903C0"/>
    <w:rsid w:val="0049161C"/>
    <w:rsid w:val="00492164"/>
    <w:rsid w:val="004A4D05"/>
    <w:rsid w:val="004B3BB8"/>
    <w:rsid w:val="005154AF"/>
    <w:rsid w:val="005213C4"/>
    <w:rsid w:val="005332C9"/>
    <w:rsid w:val="00557BD3"/>
    <w:rsid w:val="00565285"/>
    <w:rsid w:val="0057256F"/>
    <w:rsid w:val="005A0A6B"/>
    <w:rsid w:val="005C1A2D"/>
    <w:rsid w:val="005C6268"/>
    <w:rsid w:val="005F0E5D"/>
    <w:rsid w:val="006145AC"/>
    <w:rsid w:val="00642E8D"/>
    <w:rsid w:val="006432FB"/>
    <w:rsid w:val="00647FBB"/>
    <w:rsid w:val="00663C05"/>
    <w:rsid w:val="0067097B"/>
    <w:rsid w:val="006915FA"/>
    <w:rsid w:val="006D5488"/>
    <w:rsid w:val="006E161B"/>
    <w:rsid w:val="006F737B"/>
    <w:rsid w:val="007115DA"/>
    <w:rsid w:val="00737731"/>
    <w:rsid w:val="00746F90"/>
    <w:rsid w:val="00747230"/>
    <w:rsid w:val="007765FD"/>
    <w:rsid w:val="00776848"/>
    <w:rsid w:val="00780679"/>
    <w:rsid w:val="007C35F8"/>
    <w:rsid w:val="007E35A5"/>
    <w:rsid w:val="008466D5"/>
    <w:rsid w:val="00864C70"/>
    <w:rsid w:val="008813DB"/>
    <w:rsid w:val="008846DB"/>
    <w:rsid w:val="0089407F"/>
    <w:rsid w:val="008C421F"/>
    <w:rsid w:val="008E68EB"/>
    <w:rsid w:val="008F514C"/>
    <w:rsid w:val="008F6F35"/>
    <w:rsid w:val="00912861"/>
    <w:rsid w:val="009467C9"/>
    <w:rsid w:val="00946CA9"/>
    <w:rsid w:val="00953723"/>
    <w:rsid w:val="00957F82"/>
    <w:rsid w:val="0096085A"/>
    <w:rsid w:val="00977E5D"/>
    <w:rsid w:val="009832BE"/>
    <w:rsid w:val="009860EA"/>
    <w:rsid w:val="0099246A"/>
    <w:rsid w:val="00997D72"/>
    <w:rsid w:val="009A2046"/>
    <w:rsid w:val="009B1473"/>
    <w:rsid w:val="009C701F"/>
    <w:rsid w:val="009D00B3"/>
    <w:rsid w:val="009E5DB7"/>
    <w:rsid w:val="009F4DE8"/>
    <w:rsid w:val="00A17516"/>
    <w:rsid w:val="00A22C96"/>
    <w:rsid w:val="00A70D71"/>
    <w:rsid w:val="00A7302E"/>
    <w:rsid w:val="00AD61F6"/>
    <w:rsid w:val="00AE651C"/>
    <w:rsid w:val="00AF0777"/>
    <w:rsid w:val="00B062DA"/>
    <w:rsid w:val="00B31E6D"/>
    <w:rsid w:val="00B33542"/>
    <w:rsid w:val="00B340FE"/>
    <w:rsid w:val="00B67C99"/>
    <w:rsid w:val="00B8600B"/>
    <w:rsid w:val="00B96FCA"/>
    <w:rsid w:val="00B97FA9"/>
    <w:rsid w:val="00BB27C0"/>
    <w:rsid w:val="00BB4BB4"/>
    <w:rsid w:val="00BC6F85"/>
    <w:rsid w:val="00BD2EA2"/>
    <w:rsid w:val="00BE1262"/>
    <w:rsid w:val="00C21983"/>
    <w:rsid w:val="00C21A07"/>
    <w:rsid w:val="00C47235"/>
    <w:rsid w:val="00C562FA"/>
    <w:rsid w:val="00C64720"/>
    <w:rsid w:val="00C658C9"/>
    <w:rsid w:val="00C717F6"/>
    <w:rsid w:val="00C77AC8"/>
    <w:rsid w:val="00C800D0"/>
    <w:rsid w:val="00C8102A"/>
    <w:rsid w:val="00CA40D6"/>
    <w:rsid w:val="00CC1C07"/>
    <w:rsid w:val="00CC5890"/>
    <w:rsid w:val="00CE0967"/>
    <w:rsid w:val="00CE2BB8"/>
    <w:rsid w:val="00CF72A6"/>
    <w:rsid w:val="00CF7839"/>
    <w:rsid w:val="00D0402C"/>
    <w:rsid w:val="00D23F00"/>
    <w:rsid w:val="00D241AF"/>
    <w:rsid w:val="00D26DBB"/>
    <w:rsid w:val="00D33068"/>
    <w:rsid w:val="00D63B89"/>
    <w:rsid w:val="00D65C69"/>
    <w:rsid w:val="00D668B5"/>
    <w:rsid w:val="00D81BCF"/>
    <w:rsid w:val="00D86037"/>
    <w:rsid w:val="00D921DA"/>
    <w:rsid w:val="00DC21C8"/>
    <w:rsid w:val="00DD2F8B"/>
    <w:rsid w:val="00DD309B"/>
    <w:rsid w:val="00DD3E8E"/>
    <w:rsid w:val="00DF7665"/>
    <w:rsid w:val="00E3745D"/>
    <w:rsid w:val="00E45D3B"/>
    <w:rsid w:val="00E45D7E"/>
    <w:rsid w:val="00E544DC"/>
    <w:rsid w:val="00E80F94"/>
    <w:rsid w:val="00E812D9"/>
    <w:rsid w:val="00E83AC6"/>
    <w:rsid w:val="00E94F65"/>
    <w:rsid w:val="00EA38A0"/>
    <w:rsid w:val="00EB44F9"/>
    <w:rsid w:val="00ED4C5F"/>
    <w:rsid w:val="00ED559D"/>
    <w:rsid w:val="00EE0566"/>
    <w:rsid w:val="00EF082F"/>
    <w:rsid w:val="00EF1656"/>
    <w:rsid w:val="00F366BF"/>
    <w:rsid w:val="00F818A1"/>
    <w:rsid w:val="00F9387E"/>
    <w:rsid w:val="00FA0FF8"/>
    <w:rsid w:val="00FA15C7"/>
    <w:rsid w:val="031A639B"/>
    <w:rsid w:val="03CB0947"/>
    <w:rsid w:val="04081E9F"/>
    <w:rsid w:val="06232F87"/>
    <w:rsid w:val="09C04360"/>
    <w:rsid w:val="0B4C4533"/>
    <w:rsid w:val="0BB35A1E"/>
    <w:rsid w:val="0C993064"/>
    <w:rsid w:val="0EEB6E1E"/>
    <w:rsid w:val="1138476F"/>
    <w:rsid w:val="133E1471"/>
    <w:rsid w:val="1538647E"/>
    <w:rsid w:val="1A442B13"/>
    <w:rsid w:val="1A8E7E11"/>
    <w:rsid w:val="1C90146E"/>
    <w:rsid w:val="1FCA6F7D"/>
    <w:rsid w:val="222F3BF9"/>
    <w:rsid w:val="26B47F5C"/>
    <w:rsid w:val="27965F66"/>
    <w:rsid w:val="282B0005"/>
    <w:rsid w:val="28BE3C36"/>
    <w:rsid w:val="29331FE7"/>
    <w:rsid w:val="299F2208"/>
    <w:rsid w:val="2D236108"/>
    <w:rsid w:val="2F4E011C"/>
    <w:rsid w:val="318345F8"/>
    <w:rsid w:val="39465D11"/>
    <w:rsid w:val="3C7B0CAD"/>
    <w:rsid w:val="3CB40973"/>
    <w:rsid w:val="3D867825"/>
    <w:rsid w:val="3E7147C4"/>
    <w:rsid w:val="3F7F29B8"/>
    <w:rsid w:val="45B2270B"/>
    <w:rsid w:val="46A761E2"/>
    <w:rsid w:val="475C7335"/>
    <w:rsid w:val="47705D9B"/>
    <w:rsid w:val="47DC1362"/>
    <w:rsid w:val="49E16794"/>
    <w:rsid w:val="4D6C1F28"/>
    <w:rsid w:val="536D2863"/>
    <w:rsid w:val="53DD42A9"/>
    <w:rsid w:val="54A81D7C"/>
    <w:rsid w:val="55CF71A4"/>
    <w:rsid w:val="57D85564"/>
    <w:rsid w:val="5E6D7DCE"/>
    <w:rsid w:val="60123C37"/>
    <w:rsid w:val="62A9267D"/>
    <w:rsid w:val="6353259C"/>
    <w:rsid w:val="63B33D45"/>
    <w:rsid w:val="63B527A7"/>
    <w:rsid w:val="68632443"/>
    <w:rsid w:val="6E1D2124"/>
    <w:rsid w:val="6E6A0E81"/>
    <w:rsid w:val="76F44BAF"/>
    <w:rsid w:val="776B3F01"/>
    <w:rsid w:val="7CEB0174"/>
    <w:rsid w:val="7F9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C33EA"/>
  <w15:docId w15:val="{8C660CC1-DDF1-43DD-8E93-B9516C8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ody Text"/>
    <w:basedOn w:val="a"/>
    <w:autoRedefine/>
    <w:qFormat/>
    <w:pPr>
      <w:spacing w:after="120"/>
    </w:pPr>
    <w:rPr>
      <w:rFonts w:eastAsia="宋体"/>
    </w:rPr>
  </w:style>
  <w:style w:type="paragraph" w:styleId="a5">
    <w:name w:val="Body Text Indent"/>
    <w:basedOn w:val="a"/>
    <w:autoRedefine/>
    <w:qFormat/>
    <w:pPr>
      <w:spacing w:after="120"/>
      <w:ind w:leftChars="200" w:left="420"/>
    </w:pPr>
    <w:rPr>
      <w:rFonts w:ascii="Calibri" w:eastAsia="宋体" w:hAnsi="Calibri"/>
    </w:r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link w:val="a9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qFormat/>
    <w:pPr>
      <w:ind w:leftChars="1600" w:left="1600"/>
    </w:pPr>
  </w:style>
  <w:style w:type="paragraph" w:styleId="ac">
    <w:name w:val="Normal (Web)"/>
    <w:basedOn w:val="a"/>
    <w:autoRedefine/>
    <w:uiPriority w:val="99"/>
    <w:qFormat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styleId="2">
    <w:name w:val="Body Text First Indent 2"/>
    <w:basedOn w:val="a5"/>
    <w:autoRedefine/>
    <w:qFormat/>
    <w:pPr>
      <w:ind w:firstLineChars="200" w:firstLine="420"/>
    </w:pPr>
  </w:style>
  <w:style w:type="character" w:styleId="ad">
    <w:name w:val="page number"/>
    <w:basedOn w:val="a0"/>
    <w:autoRedefine/>
  </w:style>
  <w:style w:type="character" w:customStyle="1" w:styleId="Bodytext1">
    <w:name w:val="Body text|1_"/>
    <w:basedOn w:val="a0"/>
    <w:link w:val="Bodytext10"/>
    <w:autoRedefine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autoRedefine/>
    <w:qFormat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autoRedefine/>
    <w:qFormat/>
    <w:rPr>
      <w:rFonts w:ascii="宋体" w:eastAsia="宋体" w:hAnsi="宋体" w:cs="宋体"/>
      <w:color w:val="DC471D"/>
      <w:sz w:val="94"/>
      <w:szCs w:val="9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autoRedefine/>
    <w:qFormat/>
    <w:pPr>
      <w:jc w:val="center"/>
      <w:outlineLvl w:val="0"/>
    </w:pPr>
    <w:rPr>
      <w:rFonts w:ascii="宋体" w:eastAsia="宋体" w:hAnsi="宋体" w:cs="宋体"/>
      <w:color w:val="DC471D"/>
      <w:sz w:val="94"/>
      <w:szCs w:val="9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autoRedefine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autoRedefine/>
    <w:qFormat/>
    <w:rPr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autoRedefine/>
    <w:qFormat/>
    <w:rPr>
      <w:rFonts w:ascii="宋体" w:eastAsia="宋体" w:hAnsi="宋体" w:cs="宋体"/>
      <w:color w:val="383C3E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autoRedefine/>
    <w:qFormat/>
    <w:pPr>
      <w:spacing w:after="460" w:line="566" w:lineRule="exact"/>
      <w:jc w:val="center"/>
      <w:outlineLvl w:val="1"/>
    </w:pPr>
    <w:rPr>
      <w:rFonts w:ascii="宋体" w:eastAsia="宋体" w:hAnsi="宋体" w:cs="宋体"/>
      <w:color w:val="383C3E"/>
      <w:sz w:val="42"/>
      <w:szCs w:val="42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autoRedefine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autoRedefine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autoRedefine/>
    <w:qFormat/>
    <w:pPr>
      <w:spacing w:after="180"/>
    </w:pPr>
    <w:rPr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autoRedefine/>
    <w:qFormat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autoRedefine/>
    <w:qFormat/>
    <w:pPr>
      <w:spacing w:after="26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autoRedefine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autoRedefine/>
    <w:qFormat/>
    <w:pPr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autoRedefine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autoRedefine/>
    <w:qFormat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ab">
    <w:name w:val="页眉 字符"/>
    <w:basedOn w:val="a0"/>
    <w:link w:val="aa"/>
    <w:autoRedefine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9">
    <w:name w:val="页脚 字符"/>
    <w:basedOn w:val="a0"/>
    <w:link w:val="a8"/>
    <w:autoRedefine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7">
    <w:name w:val="批注框文本 字符"/>
    <w:basedOn w:val="a0"/>
    <w:link w:val="a6"/>
    <w:autoRedefine/>
    <w:qFormat/>
    <w:rPr>
      <w:rFonts w:eastAsia="Times New Roman"/>
      <w:color w:val="000000"/>
      <w:sz w:val="18"/>
      <w:szCs w:val="18"/>
      <w:lang w:eastAsia="en-US" w:bidi="en-US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pPr>
      <w:widowControl/>
      <w:kinsoku w:val="0"/>
      <w:autoSpaceDE w:val="0"/>
      <w:autoSpaceDN w:val="0"/>
      <w:adjustRightInd w:val="0"/>
      <w:snapToGrid w:val="0"/>
      <w:textAlignment w:val="baseline"/>
    </w:pPr>
    <w:rPr>
      <w:rFonts w:ascii="宋体" w:eastAsia="宋体" w:hAnsi="宋体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文艳 杜</cp:lastModifiedBy>
  <cp:revision>161</cp:revision>
  <cp:lastPrinted>2023-11-01T00:51:00Z</cp:lastPrinted>
  <dcterms:created xsi:type="dcterms:W3CDTF">2022-11-17T04:33:00Z</dcterms:created>
  <dcterms:modified xsi:type="dcterms:W3CDTF">2023-12-15T02:19:00Z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3E3544D097E04D3C910C29E6AB1028EC</vt:lpwstr>
  </property>
</Properties>
</file>